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23A" w:rsidRPr="003E223A" w:rsidRDefault="003E223A" w:rsidP="003E223A">
      <w:pPr>
        <w:widowControl/>
        <w:shd w:val="clear" w:color="auto" w:fill="FFFFFF"/>
        <w:jc w:val="center"/>
        <w:outlineLvl w:val="1"/>
        <w:rPr>
          <w:rFonts w:ascii="微软雅黑" w:eastAsia="微软雅黑" w:hAnsi="微软雅黑" w:cs="宋体"/>
          <w:b/>
          <w:bCs/>
          <w:color w:val="333333"/>
          <w:kern w:val="0"/>
          <w:sz w:val="28"/>
          <w:szCs w:val="36"/>
        </w:rPr>
      </w:pPr>
      <w:r w:rsidRPr="003E223A">
        <w:rPr>
          <w:rFonts w:ascii="微软雅黑" w:eastAsia="微软雅黑" w:hAnsi="微软雅黑" w:cs="宋体" w:hint="eastAsia"/>
          <w:b/>
          <w:bCs/>
          <w:color w:val="333333"/>
          <w:kern w:val="0"/>
          <w:sz w:val="28"/>
          <w:szCs w:val="36"/>
        </w:rPr>
        <w:t>中国证监会关于</w:t>
      </w:r>
      <w:proofErr w:type="gramStart"/>
      <w:r w:rsidRPr="003E223A">
        <w:rPr>
          <w:rFonts w:ascii="微软雅黑" w:eastAsia="微软雅黑" w:hAnsi="微软雅黑" w:cs="宋体" w:hint="eastAsia"/>
          <w:b/>
          <w:bCs/>
          <w:color w:val="333333"/>
          <w:kern w:val="0"/>
          <w:sz w:val="28"/>
          <w:szCs w:val="36"/>
        </w:rPr>
        <w:t>深化科创板改革</w:t>
      </w:r>
      <w:proofErr w:type="gramEnd"/>
      <w:r w:rsidRPr="003E223A">
        <w:rPr>
          <w:rFonts w:ascii="微软雅黑" w:eastAsia="微软雅黑" w:hAnsi="微软雅黑" w:cs="宋体" w:hint="eastAsia"/>
          <w:b/>
          <w:bCs/>
          <w:color w:val="333333"/>
          <w:kern w:val="0"/>
          <w:sz w:val="28"/>
          <w:szCs w:val="36"/>
        </w:rPr>
        <w:t xml:space="preserve"> 服务科技创新和新质生产力发展的八条措施</w:t>
      </w:r>
    </w:p>
    <w:p w:rsidR="003E223A" w:rsidRDefault="003E223A" w:rsidP="003E223A">
      <w:pPr>
        <w:pStyle w:val="a3"/>
        <w:shd w:val="clear" w:color="auto" w:fill="FFFFFF"/>
        <w:spacing w:before="0" w:beforeAutospacing="0" w:after="0" w:line="401" w:lineRule="atLeast"/>
        <w:jc w:val="both"/>
        <w:rPr>
          <w:color w:val="333333"/>
          <w:sz w:val="20"/>
          <w:szCs w:val="20"/>
        </w:rPr>
      </w:pPr>
      <w:r>
        <w:rPr>
          <w:rFonts w:ascii="仿宋_GB2312" w:eastAsia="仿宋_GB2312"/>
          <w:color w:val="333333"/>
          <w:sz w:val="20"/>
          <w:szCs w:val="20"/>
        </w:rPr>
        <w:t>中国证监会各派出机构，各交易所，各下属单位，各协会，会内各司局：</w:t>
      </w:r>
    </w:p>
    <w:p w:rsidR="003E223A" w:rsidRDefault="003E223A" w:rsidP="003E223A">
      <w:pPr>
        <w:pStyle w:val="a3"/>
        <w:shd w:val="clear" w:color="auto" w:fill="FFFFFF"/>
        <w:spacing w:before="0" w:beforeAutospacing="0" w:after="0" w:line="401" w:lineRule="atLeast"/>
        <w:ind w:firstLine="480"/>
        <w:jc w:val="both"/>
        <w:rPr>
          <w:color w:val="333333"/>
          <w:sz w:val="20"/>
          <w:szCs w:val="20"/>
        </w:rPr>
      </w:pPr>
      <w:r>
        <w:rPr>
          <w:rFonts w:ascii="仿宋_GB2312" w:eastAsia="仿宋_GB2312"/>
          <w:color w:val="333333"/>
          <w:sz w:val="20"/>
          <w:szCs w:val="20"/>
        </w:rPr>
        <w:t>在上海证券交易所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设立科创板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并试点注册制，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是习近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平总书记亲自宣布、亲自部署、亲自推动的重大改革。经过五年多的努力，上交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所科创板和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注册制的效应不断放大，在支持高水平科技自立自强、促进完善资本市场基础制度等方面发挥着日益重要的作用。为深入贯彻中央金融工作会议精神和《国务院关于加强监管防范风险推动资本市场高质量发展的若干意见》（国发〔</w:t>
      </w:r>
      <w:r>
        <w:rPr>
          <w:color w:val="333333"/>
          <w:sz w:val="20"/>
          <w:szCs w:val="20"/>
        </w:rPr>
        <w:t>2024</w:t>
      </w:r>
      <w:r>
        <w:rPr>
          <w:rFonts w:ascii="仿宋_GB2312" w:eastAsia="仿宋_GB2312"/>
          <w:color w:val="333333"/>
          <w:sz w:val="20"/>
          <w:szCs w:val="20"/>
        </w:rPr>
        <w:t>〕</w:t>
      </w:r>
      <w:r>
        <w:rPr>
          <w:color w:val="333333"/>
          <w:sz w:val="20"/>
          <w:szCs w:val="20"/>
        </w:rPr>
        <w:t>10</w:t>
      </w:r>
      <w:r>
        <w:rPr>
          <w:rFonts w:ascii="仿宋_GB2312" w:eastAsia="仿宋_GB2312"/>
          <w:color w:val="333333"/>
          <w:sz w:val="20"/>
          <w:szCs w:val="20"/>
        </w:rPr>
        <w:t>号）部署，完善资本市场</w:t>
      </w:r>
      <w:r>
        <w:rPr>
          <w:color w:val="333333"/>
          <w:sz w:val="20"/>
          <w:szCs w:val="20"/>
        </w:rPr>
        <w:t>“1+N”政策体系，进一步全面深化资本市场改革，</w:t>
      </w:r>
      <w:r>
        <w:rPr>
          <w:rFonts w:ascii="仿宋_GB2312" w:eastAsia="仿宋_GB2312"/>
          <w:color w:val="333333"/>
          <w:sz w:val="20"/>
          <w:szCs w:val="20"/>
        </w:rPr>
        <w:t>推动股票发行注册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制走深走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实，积极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发挥科创板</w:t>
      </w:r>
      <w:proofErr w:type="gramEnd"/>
      <w:r>
        <w:rPr>
          <w:color w:val="333333"/>
          <w:sz w:val="20"/>
          <w:szCs w:val="20"/>
        </w:rPr>
        <w:t>“试验田”作用，促进</w:t>
      </w:r>
      <w:r>
        <w:rPr>
          <w:rFonts w:ascii="仿宋_GB2312" w:eastAsia="仿宋_GB2312"/>
          <w:color w:val="333333"/>
          <w:sz w:val="20"/>
          <w:szCs w:val="20"/>
        </w:rPr>
        <w:t>新质生产力发展，支持上海加快</w:t>
      </w:r>
      <w:r>
        <w:rPr>
          <w:color w:val="333333"/>
          <w:sz w:val="20"/>
          <w:szCs w:val="20"/>
        </w:rPr>
        <w:t>“五个中心”建设</w:t>
      </w:r>
      <w:r>
        <w:rPr>
          <w:rFonts w:ascii="仿宋_GB2312" w:eastAsia="仿宋_GB2312"/>
          <w:color w:val="333333"/>
          <w:sz w:val="20"/>
          <w:szCs w:val="20"/>
        </w:rPr>
        <w:t>等国家战略，服务中国式现代化大局，现提出如下措施。</w:t>
      </w:r>
    </w:p>
    <w:p w:rsidR="003E223A" w:rsidRDefault="003E223A" w:rsidP="003E223A">
      <w:pPr>
        <w:pStyle w:val="a3"/>
        <w:shd w:val="clear" w:color="auto" w:fill="FFFFFF"/>
        <w:spacing w:before="0" w:beforeAutospacing="0" w:after="0" w:line="401" w:lineRule="atLeast"/>
        <w:ind w:firstLine="480"/>
        <w:jc w:val="both"/>
        <w:rPr>
          <w:color w:val="333333"/>
          <w:sz w:val="20"/>
          <w:szCs w:val="20"/>
        </w:rPr>
      </w:pPr>
      <w:r>
        <w:rPr>
          <w:rFonts w:ascii="黑体" w:eastAsia="黑体" w:hAnsi="黑体"/>
          <w:color w:val="333333"/>
          <w:sz w:val="20"/>
          <w:szCs w:val="20"/>
        </w:rPr>
        <w:t>一、</w:t>
      </w:r>
      <w:proofErr w:type="gramStart"/>
      <w:r>
        <w:rPr>
          <w:rFonts w:ascii="黑体" w:eastAsia="黑体" w:hAnsi="黑体"/>
          <w:color w:val="333333"/>
          <w:sz w:val="20"/>
          <w:szCs w:val="20"/>
        </w:rPr>
        <w:t>强化科创板</w:t>
      </w:r>
      <w:proofErr w:type="gramEnd"/>
      <w:r>
        <w:rPr>
          <w:color w:val="333333"/>
          <w:sz w:val="20"/>
          <w:szCs w:val="20"/>
        </w:rPr>
        <w:t>“硬科技”定位。</w:t>
      </w:r>
      <w:r>
        <w:rPr>
          <w:rFonts w:ascii="仿宋_GB2312" w:eastAsia="仿宋_GB2312"/>
          <w:color w:val="333333"/>
          <w:sz w:val="20"/>
          <w:szCs w:val="20"/>
        </w:rPr>
        <w:t>严把入口关，坚决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执行科创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属性评价标准，优先支持新产业新业态新技术领域突破关键核心技术的</w:t>
      </w:r>
      <w:r>
        <w:rPr>
          <w:color w:val="333333"/>
          <w:sz w:val="20"/>
          <w:szCs w:val="20"/>
        </w:rPr>
        <w:t>“硬科技”企业在</w:t>
      </w:r>
      <w:proofErr w:type="gramStart"/>
      <w:r>
        <w:rPr>
          <w:color w:val="333333"/>
          <w:sz w:val="20"/>
          <w:szCs w:val="20"/>
        </w:rPr>
        <w:t>科创板</w:t>
      </w:r>
      <w:proofErr w:type="gramEnd"/>
      <w:r>
        <w:rPr>
          <w:color w:val="333333"/>
          <w:sz w:val="20"/>
          <w:szCs w:val="20"/>
        </w:rPr>
        <w:t>上市。</w:t>
      </w:r>
      <w:r>
        <w:rPr>
          <w:rFonts w:ascii="仿宋_GB2312" w:eastAsia="仿宋_GB2312"/>
          <w:color w:val="333333"/>
          <w:sz w:val="20"/>
          <w:szCs w:val="20"/>
        </w:rPr>
        <w:t>进一步完善科技型企业精准识别机制，发挥好市场机制作用。适应新质生产力相关企业投入大、周期长、研发及商业化不确定性高等特点，支持具有关键核心技术、市场潜力大、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科创属性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突出的优质未盈利科技型企业在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科创板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上市，提升制度包容性。</w:t>
      </w:r>
    </w:p>
    <w:p w:rsidR="003E223A" w:rsidRDefault="003E223A" w:rsidP="003E223A">
      <w:pPr>
        <w:pStyle w:val="a3"/>
        <w:shd w:val="clear" w:color="auto" w:fill="FFFFFF"/>
        <w:spacing w:before="0" w:beforeAutospacing="0" w:after="0" w:line="401" w:lineRule="atLeast"/>
        <w:ind w:firstLine="480"/>
        <w:jc w:val="both"/>
        <w:rPr>
          <w:color w:val="333333"/>
          <w:sz w:val="20"/>
          <w:szCs w:val="20"/>
        </w:rPr>
      </w:pPr>
      <w:r>
        <w:rPr>
          <w:rFonts w:ascii="黑体" w:eastAsia="黑体" w:hAnsi="黑体"/>
          <w:color w:val="333333"/>
          <w:sz w:val="20"/>
          <w:szCs w:val="20"/>
        </w:rPr>
        <w:t>二、开展深化发行承销制度试点。</w:t>
      </w:r>
      <w:r>
        <w:rPr>
          <w:rFonts w:ascii="仿宋_GB2312" w:eastAsia="仿宋_GB2312"/>
          <w:color w:val="333333"/>
          <w:sz w:val="20"/>
          <w:szCs w:val="20"/>
        </w:rPr>
        <w:t>优化新股发行定价机制，在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科创板试点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调整适用新股定价高价剔除比例。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完善科创板新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股市值配售安排，增加网下投资者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持有科创板股票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市值要求。在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科创板试点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对未盈利企业公开发行股票锁定比例更高、锁定期限更长的网下投资机构，相应提高其配售比例。加强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询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报价行为监管，研究建立网下专业投资者</w:t>
      </w:r>
      <w:r>
        <w:rPr>
          <w:color w:val="333333"/>
          <w:sz w:val="20"/>
          <w:szCs w:val="20"/>
        </w:rPr>
        <w:t>“白名单”制度，</w:t>
      </w:r>
      <w:r>
        <w:rPr>
          <w:rFonts w:ascii="仿宋_GB2312" w:eastAsia="仿宋_GB2312"/>
          <w:color w:val="333333"/>
          <w:sz w:val="20"/>
          <w:szCs w:val="20"/>
        </w:rPr>
        <w:t>对频繁高报价机构从严采取资格限制等措施。</w:t>
      </w:r>
    </w:p>
    <w:p w:rsidR="003E223A" w:rsidRDefault="003E223A" w:rsidP="003E223A">
      <w:pPr>
        <w:pStyle w:val="a3"/>
        <w:shd w:val="clear" w:color="auto" w:fill="FFFFFF"/>
        <w:spacing w:before="0" w:beforeAutospacing="0" w:after="0" w:line="401" w:lineRule="atLeast"/>
        <w:ind w:firstLine="480"/>
        <w:jc w:val="both"/>
        <w:rPr>
          <w:color w:val="333333"/>
          <w:sz w:val="20"/>
          <w:szCs w:val="20"/>
        </w:rPr>
      </w:pPr>
      <w:r>
        <w:rPr>
          <w:rFonts w:ascii="黑体" w:eastAsia="黑体" w:hAnsi="黑体"/>
          <w:color w:val="333333"/>
          <w:sz w:val="20"/>
          <w:szCs w:val="20"/>
        </w:rPr>
        <w:lastRenderedPageBreak/>
        <w:t>三、</w:t>
      </w:r>
      <w:proofErr w:type="gramStart"/>
      <w:r>
        <w:rPr>
          <w:rFonts w:ascii="黑体" w:eastAsia="黑体" w:hAnsi="黑体"/>
          <w:color w:val="333333"/>
          <w:sz w:val="20"/>
          <w:szCs w:val="20"/>
        </w:rPr>
        <w:t>优化科创板</w:t>
      </w:r>
      <w:proofErr w:type="gramEnd"/>
      <w:r>
        <w:rPr>
          <w:rFonts w:ascii="黑体" w:eastAsia="黑体" w:hAnsi="黑体"/>
          <w:color w:val="333333"/>
          <w:sz w:val="20"/>
          <w:szCs w:val="20"/>
        </w:rPr>
        <w:t>上市公司股债融资制度。</w:t>
      </w:r>
      <w:r>
        <w:rPr>
          <w:rFonts w:ascii="仿宋_GB2312" w:eastAsia="仿宋_GB2312"/>
          <w:color w:val="333333"/>
          <w:sz w:val="20"/>
          <w:szCs w:val="20"/>
        </w:rPr>
        <w:t>建立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健全开展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关键核心技术攻关的</w:t>
      </w:r>
      <w:r>
        <w:rPr>
          <w:color w:val="333333"/>
          <w:sz w:val="20"/>
          <w:szCs w:val="20"/>
        </w:rPr>
        <w:t>“</w:t>
      </w:r>
      <w:r>
        <w:rPr>
          <w:rFonts w:ascii="仿宋_GB2312" w:eastAsia="仿宋_GB2312"/>
          <w:color w:val="333333"/>
          <w:sz w:val="20"/>
          <w:szCs w:val="20"/>
        </w:rPr>
        <w:t>硬科技</w:t>
      </w:r>
      <w:r>
        <w:rPr>
          <w:color w:val="333333"/>
          <w:sz w:val="20"/>
          <w:szCs w:val="20"/>
        </w:rPr>
        <w:t>”企业</w:t>
      </w:r>
      <w:r>
        <w:rPr>
          <w:rFonts w:ascii="仿宋_GB2312" w:eastAsia="仿宋_GB2312"/>
          <w:color w:val="333333"/>
          <w:sz w:val="20"/>
          <w:szCs w:val="20"/>
        </w:rPr>
        <w:t>股债融资、并购重组</w:t>
      </w:r>
      <w:r>
        <w:rPr>
          <w:color w:val="333333"/>
          <w:sz w:val="20"/>
          <w:szCs w:val="20"/>
        </w:rPr>
        <w:t>“绿色通道”。</w:t>
      </w:r>
      <w:r>
        <w:rPr>
          <w:rFonts w:ascii="仿宋_GB2312" w:eastAsia="仿宋_GB2312"/>
          <w:color w:val="333333"/>
          <w:sz w:val="20"/>
          <w:szCs w:val="20"/>
        </w:rPr>
        <w:t>严格再融资审核把关，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提高科创企业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再融资审核效率。探索建立</w:t>
      </w:r>
      <w:r>
        <w:rPr>
          <w:color w:val="333333"/>
          <w:sz w:val="20"/>
          <w:szCs w:val="20"/>
        </w:rPr>
        <w:t>“</w:t>
      </w:r>
      <w:r>
        <w:rPr>
          <w:rFonts w:ascii="仿宋_GB2312" w:eastAsia="仿宋_GB2312"/>
          <w:color w:val="333333"/>
          <w:sz w:val="20"/>
          <w:szCs w:val="20"/>
        </w:rPr>
        <w:t>轻资产、高研发投入</w:t>
      </w:r>
      <w:r>
        <w:rPr>
          <w:color w:val="333333"/>
          <w:sz w:val="20"/>
          <w:szCs w:val="20"/>
        </w:rPr>
        <w:t>”认定标准，支持再融资募集资金用于研发投入</w:t>
      </w:r>
      <w:r>
        <w:rPr>
          <w:rFonts w:ascii="仿宋_GB2312" w:eastAsia="仿宋_GB2312"/>
          <w:color w:val="333333"/>
          <w:sz w:val="20"/>
          <w:szCs w:val="20"/>
        </w:rPr>
        <w:t>。推动再融资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储架发行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试点案例率先在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科创板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落地。</w:t>
      </w:r>
    </w:p>
    <w:p w:rsidR="003E223A" w:rsidRDefault="003E223A" w:rsidP="003E223A">
      <w:pPr>
        <w:pStyle w:val="a3"/>
        <w:shd w:val="clear" w:color="auto" w:fill="FFFFFF"/>
        <w:spacing w:before="0" w:beforeAutospacing="0" w:after="0" w:line="401" w:lineRule="atLeast"/>
        <w:ind w:firstLine="480"/>
        <w:jc w:val="both"/>
        <w:rPr>
          <w:color w:val="333333"/>
          <w:sz w:val="20"/>
          <w:szCs w:val="20"/>
        </w:rPr>
      </w:pPr>
      <w:r>
        <w:rPr>
          <w:rFonts w:ascii="黑体" w:eastAsia="黑体" w:hAnsi="黑体"/>
          <w:color w:val="333333"/>
          <w:sz w:val="20"/>
          <w:szCs w:val="20"/>
        </w:rPr>
        <w:t>四、更大力度支持并购重组。</w:t>
      </w:r>
      <w:r>
        <w:rPr>
          <w:rFonts w:ascii="仿宋_GB2312" w:eastAsia="仿宋_GB2312"/>
          <w:color w:val="333333"/>
          <w:sz w:val="20"/>
          <w:szCs w:val="20"/>
        </w:rPr>
        <w:t>支持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科创板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上市公司开展产业链上下游的并购整合，提升产业协同效应。适当提高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科创板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上市公司并购重组估值包容性，支持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科创板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上市公司着眼于增强持续经营能力，收购优质未盈利</w:t>
      </w:r>
      <w:r>
        <w:rPr>
          <w:color w:val="333333"/>
          <w:sz w:val="20"/>
          <w:szCs w:val="20"/>
        </w:rPr>
        <w:t>“硬科技”</w:t>
      </w:r>
      <w:r>
        <w:rPr>
          <w:rFonts w:ascii="仿宋_GB2312" w:eastAsia="仿宋_GB2312"/>
          <w:color w:val="333333"/>
          <w:sz w:val="20"/>
          <w:szCs w:val="20"/>
        </w:rPr>
        <w:t>企业。丰富支付工具，鼓励综合运用股份、现金、定向可转债等方式实施并购重组，开展股份对价分期支付研究。支持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科创板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上市公司聚焦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做优做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强主业开展吸收合并。鼓励证券公司积极开展并购重组业务，提升专业服务能力。</w:t>
      </w:r>
    </w:p>
    <w:p w:rsidR="003E223A" w:rsidRDefault="003E223A" w:rsidP="003E223A">
      <w:pPr>
        <w:pStyle w:val="a3"/>
        <w:shd w:val="clear" w:color="auto" w:fill="FFFFFF"/>
        <w:spacing w:before="0" w:beforeAutospacing="0" w:after="0" w:line="401" w:lineRule="atLeast"/>
        <w:ind w:firstLine="480"/>
        <w:jc w:val="both"/>
        <w:rPr>
          <w:color w:val="333333"/>
          <w:sz w:val="20"/>
          <w:szCs w:val="20"/>
        </w:rPr>
      </w:pPr>
      <w:r>
        <w:rPr>
          <w:rFonts w:ascii="黑体" w:eastAsia="黑体" w:hAnsi="黑体"/>
          <w:color w:val="333333"/>
          <w:sz w:val="20"/>
          <w:szCs w:val="20"/>
        </w:rPr>
        <w:t>五、完善股权激励制度。</w:t>
      </w:r>
      <w:r>
        <w:rPr>
          <w:rFonts w:ascii="仿宋_GB2312" w:eastAsia="仿宋_GB2312"/>
          <w:color w:val="333333"/>
          <w:sz w:val="20"/>
          <w:szCs w:val="20"/>
        </w:rPr>
        <w:t>健全激励约束机制，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鼓励科创板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上市公司积极使用股权激励，与投资者更好实现利益绑定。强化对股权激励定价、考核条件及对象的约束，提高对核心团队、业务骨干等的激励精准性。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完善科创板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上市公司股权激励实施程序，对股权激励的授予及归属优化适用短线交易、窗口期等规定，研究优化股权激励预留权益的安排。</w:t>
      </w:r>
    </w:p>
    <w:p w:rsidR="003E223A" w:rsidRDefault="003E223A" w:rsidP="003E223A">
      <w:pPr>
        <w:pStyle w:val="a3"/>
        <w:shd w:val="clear" w:color="auto" w:fill="FFFFFF"/>
        <w:spacing w:before="0" w:beforeAutospacing="0" w:after="0" w:line="401" w:lineRule="atLeast"/>
        <w:ind w:firstLine="480"/>
        <w:jc w:val="both"/>
        <w:rPr>
          <w:color w:val="333333"/>
          <w:sz w:val="20"/>
          <w:szCs w:val="20"/>
        </w:rPr>
      </w:pPr>
      <w:r>
        <w:rPr>
          <w:rFonts w:ascii="黑体" w:eastAsia="黑体" w:hAnsi="黑体"/>
          <w:color w:val="333333"/>
          <w:sz w:val="20"/>
          <w:szCs w:val="20"/>
        </w:rPr>
        <w:t>六、完善交易机制，防范市场风险。</w:t>
      </w:r>
      <w:r>
        <w:rPr>
          <w:rFonts w:ascii="仿宋_GB2312" w:eastAsia="仿宋_GB2312"/>
          <w:color w:val="333333"/>
          <w:sz w:val="20"/>
          <w:szCs w:val="20"/>
        </w:rPr>
        <w:t>加强交易监管，促进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科创板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平稳运行。研究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优化做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市商机制、盘后交易机制。将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科创板</w:t>
      </w:r>
      <w:proofErr w:type="gramEnd"/>
      <w:r>
        <w:rPr>
          <w:color w:val="333333"/>
          <w:sz w:val="20"/>
          <w:szCs w:val="20"/>
        </w:rPr>
        <w:t>ETF</w:t>
      </w:r>
      <w:r>
        <w:rPr>
          <w:rFonts w:ascii="仿宋_GB2312" w:eastAsia="仿宋_GB2312"/>
          <w:color w:val="333333"/>
          <w:sz w:val="20"/>
          <w:szCs w:val="20"/>
        </w:rPr>
        <w:t>纳入基金通平台转让。完善指定交易机制，提高交易便利性。持续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丰富科创板指数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品种，完善指数编制方法，健全</w:t>
      </w:r>
      <w:r>
        <w:rPr>
          <w:color w:val="333333"/>
          <w:sz w:val="20"/>
          <w:szCs w:val="20"/>
        </w:rPr>
        <w:t>“上海指数”体系。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丰富科创板</w:t>
      </w:r>
      <w:proofErr w:type="gramEnd"/>
      <w:r>
        <w:rPr>
          <w:color w:val="333333"/>
          <w:sz w:val="20"/>
          <w:szCs w:val="20"/>
        </w:rPr>
        <w:t>ETF</w:t>
      </w:r>
      <w:r>
        <w:rPr>
          <w:rFonts w:ascii="仿宋_GB2312" w:eastAsia="仿宋_GB2312"/>
          <w:color w:val="333333"/>
          <w:sz w:val="20"/>
          <w:szCs w:val="20"/>
        </w:rPr>
        <w:t>品类及</w:t>
      </w:r>
      <w:r>
        <w:rPr>
          <w:color w:val="333333"/>
          <w:sz w:val="20"/>
          <w:szCs w:val="20"/>
        </w:rPr>
        <w:t>ETF</w:t>
      </w:r>
      <w:r>
        <w:rPr>
          <w:rFonts w:ascii="仿宋_GB2312" w:eastAsia="仿宋_GB2312"/>
          <w:color w:val="333333"/>
          <w:sz w:val="20"/>
          <w:szCs w:val="20"/>
        </w:rPr>
        <w:t>期权产品，研究适时推出科创</w:t>
      </w:r>
      <w:r>
        <w:rPr>
          <w:color w:val="333333"/>
          <w:sz w:val="20"/>
          <w:szCs w:val="20"/>
        </w:rPr>
        <w:t>50</w:t>
      </w:r>
      <w:r>
        <w:rPr>
          <w:rFonts w:ascii="仿宋_GB2312" w:eastAsia="仿宋_GB2312"/>
          <w:color w:val="333333"/>
          <w:sz w:val="20"/>
          <w:szCs w:val="20"/>
        </w:rPr>
        <w:t>指数期货期权。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优化科创板宽基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指数产品常态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化注册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机制。</w:t>
      </w:r>
    </w:p>
    <w:p w:rsidR="003E223A" w:rsidRDefault="003E223A" w:rsidP="003E223A">
      <w:pPr>
        <w:pStyle w:val="a3"/>
        <w:shd w:val="clear" w:color="auto" w:fill="FFFFFF"/>
        <w:spacing w:before="0" w:beforeAutospacing="0" w:after="0" w:line="401" w:lineRule="atLeast"/>
        <w:ind w:firstLine="480"/>
        <w:jc w:val="both"/>
        <w:rPr>
          <w:color w:val="333333"/>
          <w:sz w:val="20"/>
          <w:szCs w:val="20"/>
        </w:rPr>
      </w:pPr>
      <w:r>
        <w:rPr>
          <w:rFonts w:ascii="黑体" w:eastAsia="黑体" w:hAnsi="黑体"/>
          <w:color w:val="333333"/>
          <w:sz w:val="20"/>
          <w:szCs w:val="20"/>
        </w:rPr>
        <w:t>七、加强</w:t>
      </w:r>
      <w:proofErr w:type="gramStart"/>
      <w:r>
        <w:rPr>
          <w:rFonts w:ascii="黑体" w:eastAsia="黑体" w:hAnsi="黑体"/>
          <w:color w:val="333333"/>
          <w:sz w:val="20"/>
          <w:szCs w:val="20"/>
        </w:rPr>
        <w:t>科创板</w:t>
      </w:r>
      <w:proofErr w:type="gramEnd"/>
      <w:r>
        <w:rPr>
          <w:rFonts w:ascii="黑体" w:eastAsia="黑体" w:hAnsi="黑体"/>
          <w:color w:val="333333"/>
          <w:sz w:val="20"/>
          <w:szCs w:val="20"/>
        </w:rPr>
        <w:t>上市公司全链条监管。</w:t>
      </w:r>
      <w:r>
        <w:rPr>
          <w:rFonts w:ascii="仿宋_GB2312" w:eastAsia="仿宋_GB2312"/>
          <w:color w:val="333333"/>
          <w:sz w:val="20"/>
          <w:szCs w:val="20"/>
        </w:rPr>
        <w:t>落实监管要</w:t>
      </w:r>
      <w:r>
        <w:rPr>
          <w:color w:val="333333"/>
          <w:sz w:val="20"/>
          <w:szCs w:val="20"/>
        </w:rPr>
        <w:t>“长牙带刺”、有棱有角</w:t>
      </w:r>
      <w:r>
        <w:rPr>
          <w:rFonts w:ascii="仿宋_GB2312" w:eastAsia="仿宋_GB2312"/>
          <w:color w:val="333333"/>
          <w:sz w:val="20"/>
          <w:szCs w:val="20"/>
        </w:rPr>
        <w:t>，从严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打击科创板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欺诈发行、财务造假等市场乱象，进一步压实发行人及中介机构责任，更加有效保护中小投</w:t>
      </w:r>
      <w:r>
        <w:rPr>
          <w:rFonts w:ascii="仿宋_GB2312" w:eastAsia="仿宋_GB2312"/>
          <w:color w:val="333333"/>
          <w:sz w:val="20"/>
          <w:szCs w:val="20"/>
        </w:rPr>
        <w:lastRenderedPageBreak/>
        <w:t>资者合法权益。完善信息披露豁免制度，支持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科创板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上市公司依法依规豁免披露商业秘密等敏感信息。强化监管政策正向激励，引导创始团队、核心技术骨干等自愿延长股份锁定期限。优化私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募股权创投基金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退出</w:t>
      </w:r>
      <w:r>
        <w:rPr>
          <w:color w:val="333333"/>
          <w:sz w:val="20"/>
          <w:szCs w:val="20"/>
        </w:rPr>
        <w:t>“反向挂钩”</w:t>
      </w:r>
      <w:r>
        <w:rPr>
          <w:rFonts w:ascii="仿宋_GB2312" w:eastAsia="仿宋_GB2312"/>
          <w:color w:val="333333"/>
          <w:sz w:val="20"/>
          <w:szCs w:val="20"/>
        </w:rPr>
        <w:t>制度，对合理减持诉求予以支持。严格执行退市制度，坚决防止</w:t>
      </w:r>
      <w:r>
        <w:rPr>
          <w:color w:val="333333"/>
          <w:sz w:val="20"/>
          <w:szCs w:val="20"/>
        </w:rPr>
        <w:t>“害群之马”“僵尸空壳”</w:t>
      </w:r>
      <w:r>
        <w:rPr>
          <w:rFonts w:ascii="仿宋_GB2312" w:eastAsia="仿宋_GB2312"/>
          <w:color w:val="333333"/>
          <w:sz w:val="20"/>
          <w:szCs w:val="20"/>
        </w:rPr>
        <w:t>在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科创板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出现。</w:t>
      </w:r>
    </w:p>
    <w:p w:rsidR="003E223A" w:rsidRDefault="003E223A" w:rsidP="003E223A">
      <w:pPr>
        <w:pStyle w:val="a3"/>
        <w:shd w:val="clear" w:color="auto" w:fill="FFFFFF"/>
        <w:spacing w:before="0" w:beforeAutospacing="0" w:after="0" w:line="401" w:lineRule="atLeast"/>
        <w:ind w:firstLine="480"/>
        <w:jc w:val="both"/>
        <w:rPr>
          <w:color w:val="333333"/>
          <w:sz w:val="20"/>
          <w:szCs w:val="20"/>
        </w:rPr>
      </w:pPr>
      <w:r>
        <w:rPr>
          <w:rFonts w:ascii="黑体" w:eastAsia="黑体" w:hAnsi="黑体"/>
          <w:color w:val="333333"/>
          <w:sz w:val="20"/>
          <w:szCs w:val="20"/>
        </w:rPr>
        <w:t>八、积极营造良好市场生态。</w:t>
      </w:r>
      <w:r>
        <w:rPr>
          <w:rFonts w:ascii="仿宋_GB2312" w:eastAsia="仿宋_GB2312"/>
          <w:color w:val="333333"/>
          <w:sz w:val="20"/>
          <w:szCs w:val="20"/>
        </w:rPr>
        <w:t>推动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优化科创板司法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保障制度机制，支持上海金融法院在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涉科创板相关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金融案件中创新金融审判体制机制，支持上海金融仲裁院在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科创板开展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仲裁试点。加强与地方政府、相关部委的协作，常态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化开展科创板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上市公司走访，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帮助科创企业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解决实际困难，共同推动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提升科创板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上市公司质量。深入实施</w:t>
      </w:r>
      <w:r>
        <w:rPr>
          <w:color w:val="333333"/>
          <w:sz w:val="20"/>
          <w:szCs w:val="20"/>
        </w:rPr>
        <w:t>“提质增效重回报”</w:t>
      </w:r>
      <w:r>
        <w:rPr>
          <w:rFonts w:ascii="仿宋_GB2312" w:eastAsia="仿宋_GB2312"/>
          <w:color w:val="333333"/>
          <w:sz w:val="20"/>
          <w:szCs w:val="20"/>
        </w:rPr>
        <w:t>行动，加强投资者教育服务，积极倡导理性投资、价值投资、长期投资理念，促进形成</w:t>
      </w:r>
      <w:proofErr w:type="gramStart"/>
      <w:r>
        <w:rPr>
          <w:rFonts w:ascii="仿宋_GB2312" w:eastAsia="仿宋_GB2312"/>
          <w:color w:val="333333"/>
          <w:sz w:val="20"/>
          <w:szCs w:val="20"/>
        </w:rPr>
        <w:t>科创板良好</w:t>
      </w:r>
      <w:proofErr w:type="gramEnd"/>
      <w:r>
        <w:rPr>
          <w:rFonts w:ascii="仿宋_GB2312" w:eastAsia="仿宋_GB2312"/>
          <w:color w:val="333333"/>
          <w:sz w:val="20"/>
          <w:szCs w:val="20"/>
        </w:rPr>
        <w:t>的市场文化和投资文化。</w:t>
      </w:r>
    </w:p>
    <w:p w:rsidR="00420688" w:rsidRPr="003E223A" w:rsidRDefault="003E223A" w:rsidP="003E223A">
      <w:pPr>
        <w:jc w:val="right"/>
      </w:pPr>
      <w:r>
        <w:t>来源：中国证监会</w:t>
      </w:r>
    </w:p>
    <w:sectPr w:rsidR="00420688" w:rsidRPr="003E223A" w:rsidSect="004206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E223A"/>
    <w:rsid w:val="003E223A"/>
    <w:rsid w:val="00420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688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3E223A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3E223A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3E22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6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2024-09-02T02:57:00Z</dcterms:created>
  <dcterms:modified xsi:type="dcterms:W3CDTF">2024-09-02T03:03:00Z</dcterms:modified>
</cp:coreProperties>
</file>